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94D6" w14:textId="70DB8072" w:rsidR="00E06C97" w:rsidRPr="00E06C97" w:rsidRDefault="00E06C97" w:rsidP="00E06C97">
      <w:pPr>
        <w:pStyle w:val="10"/>
        <w:spacing w:before="120"/>
        <w:rPr>
          <w:rFonts w:ascii="Sakkal Majalla" w:hAnsi="Sakkal Majalla" w:cs="Sakkal Majalla"/>
          <w:b/>
          <w:bCs/>
          <w:color w:val="002060"/>
          <w:sz w:val="36"/>
          <w:szCs w:val="36"/>
          <w:rtl/>
        </w:rPr>
      </w:pPr>
      <w:bookmarkStart w:id="0" w:name="_Toc414530911"/>
      <w:bookmarkStart w:id="1" w:name="_Toc32018649"/>
      <w:bookmarkStart w:id="2" w:name="_Toc158635735"/>
      <w:r w:rsidRPr="00E06C97">
        <w:rPr>
          <w:rFonts w:ascii="Sakkal Majalla" w:hAnsi="Sakkal Majalla" w:cs="Sakkal Majalla"/>
          <w:b/>
          <w:bCs/>
          <w:color w:val="002060"/>
          <w:sz w:val="36"/>
          <w:szCs w:val="36"/>
          <w:rtl/>
        </w:rPr>
        <w:t>سياسة الوقاية من عمليات غسيل الأموال وجرائم تمويل الإرهاب</w:t>
      </w:r>
      <w:bookmarkEnd w:id="2"/>
    </w:p>
    <w:p w14:paraId="48159118"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الهدف من ال</w:t>
      </w:r>
      <w:r>
        <w:rPr>
          <w:rFonts w:ascii="Sakkal Majalla" w:hAnsi="Sakkal Majalla" w:cs="Sakkal Majalla" w:hint="cs"/>
          <w:color w:val="0070C0"/>
          <w:sz w:val="28"/>
          <w:szCs w:val="28"/>
          <w:rtl/>
        </w:rPr>
        <w:t>سياسة</w:t>
      </w:r>
    </w:p>
    <w:p w14:paraId="7E6C0FBF" w14:textId="6A21ABDC" w:rsidR="00E06C97" w:rsidRDefault="00E06C97" w:rsidP="00E06C97">
      <w:pPr>
        <w:ind w:left="1134"/>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تعد </w:t>
      </w:r>
      <w:r w:rsidRPr="00EA06C4">
        <w:rPr>
          <w:rFonts w:ascii="Sakkal Majalla" w:hAnsi="Sakkal Majalla" w:cs="Sakkal Majalla"/>
          <w:sz w:val="28"/>
          <w:szCs w:val="28"/>
          <w:rtl/>
          <w:lang w:bidi="ar-EG"/>
        </w:rPr>
        <w:t>سياسة</w:t>
      </w:r>
      <w:r>
        <w:rPr>
          <w:rFonts w:ascii="Sakkal Majalla" w:hAnsi="Sakkal Majalla" w:cs="Sakkal Majalla" w:hint="cs"/>
          <w:sz w:val="28"/>
          <w:szCs w:val="28"/>
          <w:rtl/>
        </w:rPr>
        <w:t xml:space="preserve"> مؤشرات</w:t>
      </w:r>
      <w:r w:rsidRPr="00EA06C4">
        <w:rPr>
          <w:rFonts w:ascii="Sakkal Majalla" w:hAnsi="Sakkal Majalla" w:cs="Sakkal Majalla"/>
          <w:sz w:val="28"/>
          <w:szCs w:val="28"/>
          <w:rtl/>
          <w:lang w:bidi="ar-EG"/>
        </w:rPr>
        <w:t xml:space="preserve"> الاشتباه بعمليات غسيل الأموال وجرائم تمويل الإرهاب </w:t>
      </w:r>
      <w:r w:rsidRPr="00DE36D6">
        <w:rPr>
          <w:rFonts w:ascii="Sakkal Majalla" w:hAnsi="Sakkal Majalla" w:cs="Sakkal Majalla"/>
          <w:sz w:val="28"/>
          <w:szCs w:val="28"/>
          <w:rtl/>
          <w:lang w:bidi="ar-EG"/>
        </w:rPr>
        <w:t xml:space="preserve">أحد الركائز الأساسية التي اتخذتها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في مجال الرقابة المالية وفقاً لنظام مكافحة غسل الأموال الصادر بالمرسوم الملكي رقم </w:t>
      </w:r>
      <w:r>
        <w:rPr>
          <w:rFonts w:ascii="Sakkal Majalla" w:hAnsi="Sakkal Majalla" w:cs="Sakkal Majalla" w:hint="cs"/>
          <w:sz w:val="28"/>
          <w:szCs w:val="28"/>
          <w:rtl/>
          <w:lang w:bidi="ar-EG"/>
        </w:rPr>
        <w:t>(</w:t>
      </w:r>
      <w:r w:rsidRPr="00DE36D6">
        <w:rPr>
          <w:rFonts w:ascii="Sakkal Majalla" w:hAnsi="Sakkal Majalla" w:cs="Sakkal Majalla"/>
          <w:sz w:val="28"/>
          <w:szCs w:val="28"/>
          <w:rtl/>
          <w:lang w:bidi="ar-EG"/>
        </w:rPr>
        <w:t>م/</w:t>
      </w:r>
      <w:r>
        <w:rPr>
          <w:rFonts w:ascii="Sakkal Majalla" w:hAnsi="Sakkal Majalla" w:cs="Sakkal Majalla" w:hint="cs"/>
          <w:sz w:val="28"/>
          <w:szCs w:val="28"/>
          <w:rtl/>
          <w:lang w:bidi="ar-EG"/>
        </w:rPr>
        <w:t>20)</w:t>
      </w:r>
      <w:r w:rsidRPr="00DE36D6">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و</w:t>
      </w:r>
      <w:r w:rsidRPr="00DE36D6">
        <w:rPr>
          <w:rFonts w:ascii="Sakkal Majalla" w:hAnsi="Sakkal Majalla" w:cs="Sakkal Majalla"/>
          <w:sz w:val="28"/>
          <w:szCs w:val="28"/>
          <w:rtl/>
          <w:lang w:bidi="ar-EG"/>
        </w:rPr>
        <w:t xml:space="preserve">تاريخ </w:t>
      </w:r>
      <w:r>
        <w:rPr>
          <w:rFonts w:ascii="Sakkal Majalla" w:hAnsi="Sakkal Majalla" w:cs="Sakkal Majalla" w:hint="cs"/>
          <w:sz w:val="28"/>
          <w:szCs w:val="28"/>
          <w:rtl/>
          <w:lang w:bidi="ar-EG"/>
        </w:rPr>
        <w:t>5</w:t>
      </w:r>
      <w:r w:rsidRPr="00DE36D6">
        <w:rPr>
          <w:rFonts w:ascii="Sakkal Majalla" w:hAnsi="Sakkal Majalla" w:cs="Sakkal Majalla"/>
          <w:sz w:val="28"/>
          <w:szCs w:val="28"/>
          <w:rtl/>
          <w:lang w:bidi="ar-EG"/>
        </w:rPr>
        <w:t>/</w:t>
      </w:r>
      <w:r>
        <w:rPr>
          <w:rFonts w:ascii="Sakkal Majalla" w:hAnsi="Sakkal Majalla" w:cs="Sakkal Majalla" w:hint="cs"/>
          <w:sz w:val="28"/>
          <w:szCs w:val="28"/>
          <w:rtl/>
          <w:lang w:bidi="ar-EG"/>
        </w:rPr>
        <w:t>2</w:t>
      </w:r>
      <w:r w:rsidRPr="00DE36D6">
        <w:rPr>
          <w:rFonts w:ascii="Sakkal Majalla" w:hAnsi="Sakkal Majalla" w:cs="Sakkal Majalla"/>
          <w:sz w:val="28"/>
          <w:szCs w:val="28"/>
          <w:rtl/>
          <w:lang w:bidi="ar-EG"/>
        </w:rPr>
        <w:t>/143</w:t>
      </w:r>
      <w:r>
        <w:rPr>
          <w:rFonts w:ascii="Sakkal Majalla" w:hAnsi="Sakkal Majalla" w:cs="Sakkal Majalla" w:hint="cs"/>
          <w:sz w:val="28"/>
          <w:szCs w:val="28"/>
          <w:rtl/>
          <w:lang w:bidi="ar-EG"/>
        </w:rPr>
        <w:t>9</w:t>
      </w:r>
      <w:r w:rsidRPr="00DE36D6">
        <w:rPr>
          <w:rFonts w:ascii="Sakkal Majalla" w:hAnsi="Sakkal Majalla" w:cs="Sakkal Majalla"/>
          <w:sz w:val="28"/>
          <w:szCs w:val="28"/>
          <w:rtl/>
          <w:lang w:bidi="ar-EG"/>
        </w:rPr>
        <w:t xml:space="preserve">هـ، ولائحته التنفيذية </w:t>
      </w:r>
      <w:r w:rsidRPr="001B3B09">
        <w:rPr>
          <w:rFonts w:ascii="Sakkal Majalla" w:hAnsi="Sakkal Majalla" w:cs="Sakkal Majalla"/>
          <w:sz w:val="28"/>
          <w:szCs w:val="28"/>
          <w:rtl/>
          <w:lang w:bidi="ar-EG"/>
        </w:rPr>
        <w:t>والقرارات والتعديلات الصادرة تنفيذاً له</w:t>
      </w:r>
      <w:r w:rsidRPr="00DE36D6">
        <w:rPr>
          <w:rFonts w:ascii="Sakkal Majalla" w:hAnsi="Sakkal Majalla" w:cs="Sakkal Majalla"/>
          <w:sz w:val="28"/>
          <w:szCs w:val="28"/>
          <w:rtl/>
          <w:lang w:bidi="ar-EG"/>
        </w:rPr>
        <w:t>.</w:t>
      </w:r>
    </w:p>
    <w:p w14:paraId="5EADA04B"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 xml:space="preserve">نطاق عمل </w:t>
      </w:r>
      <w:r>
        <w:rPr>
          <w:rFonts w:ascii="Sakkal Majalla" w:hAnsi="Sakkal Majalla" w:cs="Sakkal Majalla" w:hint="cs"/>
          <w:color w:val="0070C0"/>
          <w:sz w:val="28"/>
          <w:szCs w:val="28"/>
          <w:rtl/>
        </w:rPr>
        <w:t>ال</w:t>
      </w:r>
      <w:r>
        <w:rPr>
          <w:rFonts w:ascii="Sakkal Majalla" w:hAnsi="Sakkal Majalla" w:cs="Sakkal Majalla"/>
          <w:color w:val="0070C0"/>
          <w:sz w:val="28"/>
          <w:szCs w:val="28"/>
          <w:rtl/>
        </w:rPr>
        <w:t>سياسة</w:t>
      </w:r>
    </w:p>
    <w:p w14:paraId="45EB567B" w14:textId="10FB5E0C" w:rsidR="00E06C97" w:rsidRPr="00DE36D6" w:rsidRDefault="00E06C97" w:rsidP="00E06C97">
      <w:pPr>
        <w:ind w:left="1134"/>
        <w:jc w:val="both"/>
        <w:rPr>
          <w:rFonts w:ascii="Sakkal Majalla" w:hAnsi="Sakkal Majalla" w:cs="Sakkal Majalla"/>
          <w:sz w:val="28"/>
          <w:szCs w:val="28"/>
          <w:rtl/>
          <w:lang w:bidi="ar-EG"/>
        </w:rPr>
      </w:pPr>
      <w:r w:rsidRPr="00DE36D6">
        <w:rPr>
          <w:rFonts w:ascii="Sakkal Majalla" w:hAnsi="Sakkal Majalla" w:cs="Sakkal Majalla"/>
          <w:sz w:val="28"/>
          <w:szCs w:val="28"/>
          <w:rtl/>
          <w:lang w:bidi="ar-EG"/>
        </w:rPr>
        <w:t xml:space="preserve">تحدد هذه السياسة المسؤوليات العامة على كافة العاملين ومن لهم علاقات تعاقدية وتطوعية في </w:t>
      </w:r>
      <w:r>
        <w:rPr>
          <w:rFonts w:ascii="Sakkal Majalla" w:hAnsi="Sakkal Majalla" w:cs="Sakkal Majalla"/>
          <w:sz w:val="28"/>
          <w:szCs w:val="28"/>
          <w:rtl/>
          <w:lang w:bidi="ar-EG"/>
        </w:rPr>
        <w:t>الجمعية</w:t>
      </w:r>
      <w:r>
        <w:rPr>
          <w:rFonts w:ascii="Sakkal Majalla" w:hAnsi="Sakkal Majalla" w:cs="Sakkal Majalla" w:hint="cs"/>
          <w:sz w:val="28"/>
          <w:szCs w:val="28"/>
          <w:rtl/>
          <w:lang w:bidi="ar-EG"/>
        </w:rPr>
        <w:t>.</w:t>
      </w:r>
    </w:p>
    <w:p w14:paraId="70618279" w14:textId="220AF48C"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طرق الوقا</w:t>
      </w:r>
      <w:r w:rsidRPr="00DE36D6">
        <w:rPr>
          <w:rFonts w:ascii="Sakkal Majalla" w:hAnsi="Sakkal Majalla" w:cs="Sakkal Majalla"/>
          <w:color w:val="0070C0"/>
          <w:sz w:val="28"/>
          <w:szCs w:val="28"/>
          <w:rtl/>
        </w:rPr>
        <w:t xml:space="preserve">ية التي اتخذتها </w:t>
      </w:r>
      <w:r>
        <w:rPr>
          <w:rFonts w:ascii="Sakkal Majalla" w:hAnsi="Sakkal Majalla" w:cs="Sakkal Majalla"/>
          <w:color w:val="0070C0"/>
          <w:sz w:val="28"/>
          <w:szCs w:val="28"/>
          <w:rtl/>
        </w:rPr>
        <w:t>الجمعية</w:t>
      </w:r>
      <w:r w:rsidRPr="00DE36D6">
        <w:rPr>
          <w:rFonts w:ascii="Sakkal Majalla" w:hAnsi="Sakkal Majalla" w:cs="Sakkal Majalla"/>
          <w:color w:val="0070C0"/>
          <w:sz w:val="28"/>
          <w:szCs w:val="28"/>
          <w:rtl/>
        </w:rPr>
        <w:t xml:space="preserve"> في سبيل مكافحة عمليات غسل الأموال وجرائم تمويل الإرهاب</w:t>
      </w:r>
    </w:p>
    <w:p w14:paraId="67D75B55" w14:textId="53745894"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تحديد وفهم وتقييم مخاطر غسل الأموال وتمويل الإرهاب التي تتعرض لها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w:t>
      </w:r>
    </w:p>
    <w:p w14:paraId="4BD7C3FD" w14:textId="77777777"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اتخاذ قرارات مبررة في شأن الحد من مخاطر غسل الأموال وتمويل الإرهاب الخاصة بالمنتجات والخدمات</w:t>
      </w:r>
      <w:r w:rsidRPr="00DE36D6">
        <w:rPr>
          <w:rFonts w:ascii="Sakkal Majalla" w:hAnsi="Sakkal Majalla" w:cs="Sakkal Majalla"/>
          <w:sz w:val="28"/>
          <w:szCs w:val="28"/>
          <w:lang w:bidi="ar-EG"/>
        </w:rPr>
        <w:t>.</w:t>
      </w:r>
    </w:p>
    <w:p w14:paraId="2F86A145" w14:textId="3BA36137"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تعزيز برامج بناء القدرات والتدريب </w:t>
      </w:r>
      <w:r>
        <w:rPr>
          <w:rFonts w:ascii="Sakkal Majalla" w:hAnsi="Sakkal Majalla" w:cs="Sakkal Majalla" w:hint="cs"/>
          <w:sz w:val="28"/>
          <w:szCs w:val="28"/>
          <w:rtl/>
          <w:lang w:bidi="ar-EG"/>
        </w:rPr>
        <w:t>و</w:t>
      </w:r>
      <w:r w:rsidRPr="00DE36D6">
        <w:rPr>
          <w:rFonts w:ascii="Sakkal Majalla" w:hAnsi="Sakkal Majalla" w:cs="Sakkal Majalla"/>
          <w:sz w:val="28"/>
          <w:szCs w:val="28"/>
          <w:rtl/>
          <w:lang w:bidi="ar-EG"/>
        </w:rPr>
        <w:t xml:space="preserve">رفع كفاءة العاملين بما يتلاءم مع نوعية الأعمال في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في مجال مكافحة</w:t>
      </w:r>
      <w:r w:rsidRPr="001B3B09">
        <w:rPr>
          <w:rFonts w:ascii="Sakkal Majalla" w:hAnsi="Sakkal Majalla" w:cs="Sakkal Majalla"/>
          <w:sz w:val="28"/>
          <w:szCs w:val="28"/>
          <w:rtl/>
          <w:lang w:bidi="ar-EG"/>
        </w:rPr>
        <w:t xml:space="preserve"> </w:t>
      </w:r>
      <w:r w:rsidRPr="00DE36D6">
        <w:rPr>
          <w:rFonts w:ascii="Sakkal Majalla" w:hAnsi="Sakkal Majalla" w:cs="Sakkal Majalla"/>
          <w:sz w:val="28"/>
          <w:szCs w:val="28"/>
          <w:rtl/>
          <w:lang w:bidi="ar-EG"/>
        </w:rPr>
        <w:t>غسل الأموال وجرائم تمويل الإرهاب.</w:t>
      </w:r>
    </w:p>
    <w:p w14:paraId="5AE59E2B" w14:textId="77777777" w:rsidR="00E06C97" w:rsidRPr="00DE36D6" w:rsidRDefault="00E06C97" w:rsidP="00B21884">
      <w:pPr>
        <w:pStyle w:val="af0"/>
        <w:numPr>
          <w:ilvl w:val="0"/>
          <w:numId w:val="40"/>
        </w:numPr>
        <w:jc w:val="both"/>
        <w:rPr>
          <w:rFonts w:ascii="Sakkal Majalla" w:hAnsi="Sakkal Majalla" w:cs="Sakkal Majalla"/>
          <w:sz w:val="28"/>
          <w:szCs w:val="28"/>
          <w:lang w:bidi="ar-EG"/>
        </w:rPr>
      </w:pPr>
      <w:r>
        <w:rPr>
          <w:rFonts w:ascii="Sakkal Majalla" w:hAnsi="Sakkal Majalla" w:cs="Sakkal Majalla"/>
          <w:sz w:val="28"/>
          <w:szCs w:val="28"/>
          <w:rtl/>
          <w:lang w:bidi="ar-EG"/>
        </w:rPr>
        <w:t xml:space="preserve">رفع كفاءة القنوات المستخدمة </w:t>
      </w:r>
      <w:r w:rsidRPr="00DE36D6">
        <w:rPr>
          <w:rFonts w:ascii="Sakkal Majalla" w:hAnsi="Sakkal Majalla" w:cs="Sakkal Majalla"/>
          <w:sz w:val="28"/>
          <w:szCs w:val="28"/>
          <w:rtl/>
          <w:lang w:bidi="ar-EG"/>
        </w:rPr>
        <w:t>لمكافحة</w:t>
      </w:r>
      <w:r w:rsidRPr="001B3B09">
        <w:rPr>
          <w:rFonts w:ascii="Sakkal Majalla" w:hAnsi="Sakkal Majalla" w:cs="Sakkal Majalla"/>
          <w:sz w:val="28"/>
          <w:szCs w:val="28"/>
          <w:rtl/>
          <w:lang w:bidi="ar-EG"/>
        </w:rPr>
        <w:t xml:space="preserve"> </w:t>
      </w:r>
      <w:r w:rsidRPr="00DE36D6">
        <w:rPr>
          <w:rFonts w:ascii="Sakkal Majalla" w:hAnsi="Sakkal Majalla" w:cs="Sakkal Majalla"/>
          <w:sz w:val="28"/>
          <w:szCs w:val="28"/>
          <w:rtl/>
          <w:lang w:bidi="ar-EG"/>
        </w:rPr>
        <w:t>غسل الأموال وجرائم تمويل الإرهاب وتحسين جودة التعرف على العملاء وإجراءات العناية الواجبة.</w:t>
      </w:r>
    </w:p>
    <w:p w14:paraId="35F1CA1D" w14:textId="64EA2509"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توفير الأدوات اللازمة التي تساعد على رفع جودة وفاعلية الأعمال في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w:t>
      </w:r>
    </w:p>
    <w:p w14:paraId="17E382FE" w14:textId="424391B1"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إقامة برامج توعوية لرفع مستوى الوعي لدى العاملين في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لمكافحة غسل الأموال وجرائم تمويل الإرهاب</w:t>
      </w:r>
      <w:r w:rsidRPr="00DE36D6">
        <w:rPr>
          <w:rFonts w:ascii="Sakkal Majalla" w:hAnsi="Sakkal Majalla" w:cs="Sakkal Majalla"/>
          <w:sz w:val="28"/>
          <w:szCs w:val="28"/>
          <w:lang w:bidi="ar-EG"/>
        </w:rPr>
        <w:t>.</w:t>
      </w:r>
    </w:p>
    <w:p w14:paraId="0E25168E" w14:textId="77777777"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الاعتماد على القنوات المالية غير النقدية والاستفادة من مميزاتها للتقليل من استخدام النقد في المصروفات.</w:t>
      </w:r>
    </w:p>
    <w:p w14:paraId="3FDEF59E" w14:textId="77777777" w:rsidR="00E06C97" w:rsidRPr="00DE36D6"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التعرف على المستفيد الحقيقي ذو الصفة الطبيعية أو الاعتبارية في التبادل المالي.</w:t>
      </w:r>
    </w:p>
    <w:p w14:paraId="6781726E" w14:textId="77777777" w:rsidR="00E06C97" w:rsidRDefault="00E06C97" w:rsidP="00B21884">
      <w:pPr>
        <w:pStyle w:val="af0"/>
        <w:numPr>
          <w:ilvl w:val="0"/>
          <w:numId w:val="40"/>
        </w:numPr>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السعي</w:t>
      </w:r>
      <w:r>
        <w:rPr>
          <w:rFonts w:ascii="Sakkal Majalla" w:hAnsi="Sakkal Majalla" w:cs="Sakkal Majalla"/>
          <w:sz w:val="28"/>
          <w:szCs w:val="28"/>
          <w:rtl/>
          <w:lang w:bidi="ar-EG"/>
        </w:rPr>
        <w:t xml:space="preserve"> في إيجاد عمليات ربط </w:t>
      </w:r>
      <w:r>
        <w:rPr>
          <w:rFonts w:ascii="Sakkal Majalla" w:hAnsi="Sakkal Majalla" w:cs="Sakkal Majalla" w:hint="cs"/>
          <w:sz w:val="28"/>
          <w:szCs w:val="28"/>
          <w:rtl/>
          <w:lang w:bidi="ar-EG"/>
        </w:rPr>
        <w:t>إ</w:t>
      </w:r>
      <w:r w:rsidRPr="00DE36D6">
        <w:rPr>
          <w:rFonts w:ascii="Sakkal Majalla" w:hAnsi="Sakkal Majalla" w:cs="Sakkal Majalla"/>
          <w:sz w:val="28"/>
          <w:szCs w:val="28"/>
          <w:rtl/>
          <w:lang w:bidi="ar-EG"/>
        </w:rPr>
        <w:t>لكتروني مع الجهات ذات العلاقة للمساهمة في التأكد من هوية الأشخاص والمبالغ المشتبه بها</w:t>
      </w:r>
      <w:r w:rsidRPr="00DE36D6">
        <w:rPr>
          <w:rFonts w:ascii="Sakkal Majalla" w:hAnsi="Sakkal Majalla" w:cs="Sakkal Majalla"/>
          <w:sz w:val="28"/>
          <w:szCs w:val="28"/>
          <w:lang w:bidi="ar-EG"/>
        </w:rPr>
        <w:t>.</w:t>
      </w:r>
    </w:p>
    <w:p w14:paraId="6C0FE377" w14:textId="77777777" w:rsidR="00E06C97" w:rsidRPr="00DE36D6" w:rsidRDefault="00E06C97" w:rsidP="00E06C97">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المسؤوليات</w:t>
      </w:r>
    </w:p>
    <w:p w14:paraId="38962F96" w14:textId="6FD68C53" w:rsidR="00E06C97" w:rsidRDefault="00E06C97" w:rsidP="00B21884">
      <w:pPr>
        <w:pStyle w:val="af0"/>
        <w:numPr>
          <w:ilvl w:val="0"/>
          <w:numId w:val="50"/>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تطبق هذه السياسة ضمن أنشطة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وعلى جميع العاملين الذين يعملون تحت إدارة و</w:t>
      </w:r>
      <w:r>
        <w:rPr>
          <w:rFonts w:ascii="Sakkal Majalla" w:hAnsi="Sakkal Majalla" w:cs="Sakkal Majalla" w:hint="cs"/>
          <w:sz w:val="28"/>
          <w:szCs w:val="28"/>
          <w:rtl/>
          <w:lang w:bidi="ar-EG"/>
        </w:rPr>
        <w:t>إ</w:t>
      </w:r>
      <w:r w:rsidRPr="00DE36D6">
        <w:rPr>
          <w:rFonts w:ascii="Sakkal Majalla" w:hAnsi="Sakkal Majalla" w:cs="Sakkal Majalla"/>
          <w:sz w:val="28"/>
          <w:szCs w:val="28"/>
          <w:rtl/>
          <w:lang w:bidi="ar-EG"/>
        </w:rPr>
        <w:t xml:space="preserve">شراف </w:t>
      </w:r>
      <w:r>
        <w:rPr>
          <w:rFonts w:ascii="Sakkal Majalla" w:hAnsi="Sakkal Majalla" w:cs="Sakkal Majalla"/>
          <w:sz w:val="28"/>
          <w:szCs w:val="28"/>
          <w:rtl/>
          <w:lang w:bidi="ar-EG"/>
        </w:rPr>
        <w:t>الجمعية</w:t>
      </w:r>
      <w:r>
        <w:rPr>
          <w:rFonts w:ascii="Sakkal Majalla" w:hAnsi="Sakkal Majalla" w:cs="Sakkal Majalla" w:hint="cs"/>
          <w:sz w:val="28"/>
          <w:szCs w:val="28"/>
          <w:rtl/>
          <w:lang w:bidi="ar-EG"/>
        </w:rPr>
        <w:t>.</w:t>
      </w:r>
    </w:p>
    <w:p w14:paraId="74AC61EF" w14:textId="77777777" w:rsidR="00E06C97" w:rsidRDefault="00E06C97" w:rsidP="00B21884">
      <w:pPr>
        <w:pStyle w:val="af0"/>
        <w:numPr>
          <w:ilvl w:val="0"/>
          <w:numId w:val="50"/>
        </w:numPr>
        <w:ind w:left="1440"/>
        <w:jc w:val="both"/>
        <w:rPr>
          <w:rFonts w:ascii="Sakkal Majalla" w:hAnsi="Sakkal Majalla" w:cs="Sakkal Majalla"/>
          <w:sz w:val="28"/>
          <w:szCs w:val="28"/>
          <w:lang w:bidi="ar-EG"/>
        </w:rPr>
      </w:pPr>
      <w:r w:rsidRPr="00DE36D6">
        <w:rPr>
          <w:rFonts w:ascii="Sakkal Majalla" w:hAnsi="Sakkal Majalla" w:cs="Sakkal Majalla"/>
          <w:sz w:val="28"/>
          <w:szCs w:val="28"/>
          <w:rtl/>
          <w:lang w:bidi="ar-EG"/>
        </w:rPr>
        <w:t xml:space="preserve">الاطلاع على الأنظمة المتعلقة بمكافحة غسل الأموال وعلى هذه </w:t>
      </w:r>
      <w:r w:rsidRPr="007F28B0">
        <w:rPr>
          <w:rFonts w:ascii="Sakkal Majalla" w:hAnsi="Sakkal Majalla" w:cs="Sakkal Majalla"/>
          <w:sz w:val="28"/>
          <w:szCs w:val="28"/>
          <w:rtl/>
          <w:lang w:bidi="ar-EG"/>
        </w:rPr>
        <w:t xml:space="preserve">السياسة </w:t>
      </w:r>
      <w:r w:rsidRPr="00DE36D6">
        <w:rPr>
          <w:rFonts w:ascii="Sakkal Majalla" w:hAnsi="Sakkal Majalla" w:cs="Sakkal Majalla"/>
          <w:sz w:val="28"/>
          <w:szCs w:val="28"/>
          <w:rtl/>
          <w:lang w:bidi="ar-EG"/>
        </w:rPr>
        <w:t>والإلمام بها والتوقيع عليها، والالتزام بما ورد فيها من أحكام عند أداء واجباتهم ومسؤولياتهم</w:t>
      </w:r>
      <w:r>
        <w:rPr>
          <w:rFonts w:ascii="Sakkal Majalla" w:hAnsi="Sakkal Majalla" w:cs="Sakkal Majalla"/>
          <w:sz w:val="28"/>
          <w:szCs w:val="28"/>
          <w:rtl/>
          <w:lang w:bidi="ar-EG"/>
        </w:rPr>
        <w:t xml:space="preserve"> الوظيفية.</w:t>
      </w:r>
    </w:p>
    <w:p w14:paraId="143602DD" w14:textId="60698C04" w:rsidR="00E06C97" w:rsidRPr="00DE36D6" w:rsidRDefault="00E06C97" w:rsidP="00B21884">
      <w:pPr>
        <w:pStyle w:val="af0"/>
        <w:numPr>
          <w:ilvl w:val="0"/>
          <w:numId w:val="50"/>
        </w:numPr>
        <w:ind w:left="1440"/>
        <w:jc w:val="both"/>
        <w:rPr>
          <w:rFonts w:ascii="Sakkal Majalla" w:hAnsi="Sakkal Majalla" w:cs="Sakkal Majalla"/>
          <w:sz w:val="28"/>
          <w:szCs w:val="28"/>
          <w:rtl/>
          <w:lang w:bidi="ar-EG"/>
        </w:rPr>
      </w:pPr>
      <w:r>
        <w:rPr>
          <w:rFonts w:ascii="Sakkal Majalla" w:hAnsi="Sakkal Majalla" w:cs="Sakkal Majalla" w:hint="cs"/>
          <w:sz w:val="28"/>
          <w:szCs w:val="28"/>
          <w:rtl/>
          <w:lang w:bidi="ar-EG"/>
        </w:rPr>
        <w:lastRenderedPageBreak/>
        <w:t>ع</w:t>
      </w:r>
      <w:r w:rsidRPr="00DE36D6">
        <w:rPr>
          <w:rFonts w:ascii="Sakkal Majalla" w:hAnsi="Sakkal Majalla" w:cs="Sakkal Majalla"/>
          <w:sz w:val="28"/>
          <w:szCs w:val="28"/>
          <w:rtl/>
          <w:lang w:bidi="ar-EG"/>
        </w:rPr>
        <w:t xml:space="preserve">لى </w:t>
      </w:r>
      <w:r w:rsidRPr="00613955">
        <w:rPr>
          <w:rFonts w:ascii="Sakkal Majalla" w:hAnsi="Sakkal Majalla" w:cs="Sakkal Majalla"/>
          <w:sz w:val="28"/>
          <w:szCs w:val="28"/>
          <w:rtl/>
          <w:lang w:bidi="ar-EG"/>
        </w:rPr>
        <w:t xml:space="preserve">إدارة </w:t>
      </w:r>
      <w:r>
        <w:rPr>
          <w:rFonts w:ascii="Sakkal Majalla" w:hAnsi="Sakkal Majalla" w:cs="Sakkal Majalla" w:hint="cs"/>
          <w:sz w:val="28"/>
          <w:szCs w:val="28"/>
          <w:rtl/>
          <w:lang w:bidi="ar-EG"/>
        </w:rPr>
        <w:t>الجمعية</w:t>
      </w:r>
      <w:r w:rsidRPr="00142E12">
        <w:rPr>
          <w:rFonts w:ascii="Sakkal Majalla" w:hAnsi="Sakkal Majalla" w:cs="Sakkal Majalla"/>
          <w:sz w:val="28"/>
          <w:szCs w:val="28"/>
          <w:rtl/>
          <w:lang w:bidi="ar-EG"/>
        </w:rPr>
        <w:t xml:space="preserve"> </w:t>
      </w:r>
      <w:r w:rsidRPr="00DE36D6">
        <w:rPr>
          <w:rFonts w:ascii="Sakkal Majalla" w:hAnsi="Sakkal Majalla" w:cs="Sakkal Majalla"/>
          <w:sz w:val="28"/>
          <w:szCs w:val="28"/>
          <w:rtl/>
          <w:lang w:bidi="ar-EG"/>
        </w:rPr>
        <w:t xml:space="preserve">نشر الوعي في ذلك الخصوص وتزويد جميع </w:t>
      </w:r>
      <w:r>
        <w:rPr>
          <w:rFonts w:ascii="Sakkal Majalla" w:hAnsi="Sakkal Majalla" w:cs="Sakkal Majalla" w:hint="cs"/>
          <w:sz w:val="28"/>
          <w:szCs w:val="28"/>
          <w:rtl/>
          <w:lang w:bidi="ar-EG"/>
        </w:rPr>
        <w:t>الوحدات الإدارية</w:t>
      </w:r>
      <w:r w:rsidRPr="00DE36D6">
        <w:rPr>
          <w:rFonts w:ascii="Sakkal Majalla" w:hAnsi="Sakkal Majalla" w:cs="Sakkal Majalla"/>
          <w:sz w:val="28"/>
          <w:szCs w:val="28"/>
          <w:rtl/>
          <w:lang w:bidi="ar-EG"/>
        </w:rPr>
        <w:t xml:space="preserve"> بنسخة م</w:t>
      </w:r>
      <w:r>
        <w:rPr>
          <w:rFonts w:ascii="Sakkal Majalla" w:hAnsi="Sakkal Majalla" w:cs="Sakkal Majalla" w:hint="cs"/>
          <w:sz w:val="28"/>
          <w:szCs w:val="28"/>
          <w:rtl/>
          <w:lang w:bidi="ar-EG"/>
        </w:rPr>
        <w:t>ن هذه السياسة</w:t>
      </w:r>
      <w:r w:rsidRPr="00DE36D6">
        <w:rPr>
          <w:rFonts w:ascii="Sakkal Majalla" w:hAnsi="Sakkal Majalla" w:cs="Sakkal Majalla"/>
          <w:sz w:val="28"/>
          <w:szCs w:val="28"/>
          <w:lang w:bidi="ar-EG"/>
        </w:rPr>
        <w:t>.</w:t>
      </w:r>
    </w:p>
    <w:p w14:paraId="7718A7A2" w14:textId="050AB699" w:rsidR="00E06C97" w:rsidRPr="00DE36D6" w:rsidRDefault="00E06C97" w:rsidP="00B21884">
      <w:pPr>
        <w:pStyle w:val="af0"/>
        <w:numPr>
          <w:ilvl w:val="0"/>
          <w:numId w:val="50"/>
        </w:numPr>
        <w:ind w:left="1440"/>
        <w:jc w:val="both"/>
        <w:rPr>
          <w:rFonts w:ascii="Sakkal Majalla" w:hAnsi="Sakkal Majalla" w:cs="Sakkal Majalla"/>
          <w:sz w:val="28"/>
          <w:szCs w:val="28"/>
          <w:rtl/>
          <w:lang w:bidi="ar-EG"/>
        </w:rPr>
      </w:pPr>
      <w:r w:rsidRPr="00DE36D6">
        <w:rPr>
          <w:rFonts w:ascii="Sakkal Majalla" w:hAnsi="Sakkal Majalla" w:cs="Sakkal Majalla"/>
          <w:sz w:val="28"/>
          <w:szCs w:val="28"/>
          <w:rtl/>
          <w:lang w:bidi="ar-EG"/>
        </w:rPr>
        <w:t xml:space="preserve">تحرص </w:t>
      </w:r>
      <w:r>
        <w:rPr>
          <w:rFonts w:ascii="Sakkal Majalla" w:hAnsi="Sakkal Majalla" w:cs="Sakkal Majalla"/>
          <w:sz w:val="28"/>
          <w:szCs w:val="28"/>
          <w:rtl/>
          <w:lang w:bidi="ar-EG"/>
        </w:rPr>
        <w:t>الجمعية</w:t>
      </w:r>
      <w:r w:rsidRPr="00DE36D6">
        <w:rPr>
          <w:rFonts w:ascii="Sakkal Majalla" w:hAnsi="Sakkal Majalla" w:cs="Sakkal Majalla"/>
          <w:sz w:val="28"/>
          <w:szCs w:val="28"/>
          <w:rtl/>
          <w:lang w:bidi="ar-EG"/>
        </w:rPr>
        <w:t xml:space="preserve"> حال التعاقد مع متعاونين على التأكد من </w:t>
      </w:r>
      <w:r>
        <w:rPr>
          <w:rFonts w:ascii="Sakkal Majalla" w:hAnsi="Sakkal Majalla" w:cs="Sakkal Majalla" w:hint="cs"/>
          <w:sz w:val="28"/>
          <w:szCs w:val="28"/>
          <w:rtl/>
          <w:lang w:bidi="ar-EG"/>
        </w:rPr>
        <w:t>ا</w:t>
      </w:r>
      <w:r w:rsidRPr="00DE36D6">
        <w:rPr>
          <w:rFonts w:ascii="Sakkal Majalla" w:hAnsi="Sakkal Majalla" w:cs="Sakkal Majalla"/>
          <w:sz w:val="28"/>
          <w:szCs w:val="28"/>
          <w:rtl/>
          <w:lang w:bidi="ar-EG"/>
        </w:rPr>
        <w:t>تباعهم والتزامهم بقواعد مكافحة غسل الأموال وتمويل الإرهاب</w:t>
      </w:r>
      <w:r>
        <w:rPr>
          <w:rFonts w:ascii="Sakkal Majalla" w:hAnsi="Sakkal Majalla" w:cs="Sakkal Majalla" w:hint="cs"/>
          <w:sz w:val="28"/>
          <w:szCs w:val="28"/>
          <w:rtl/>
          <w:lang w:bidi="ar-EG"/>
        </w:rPr>
        <w:t>.</w:t>
      </w:r>
    </w:p>
    <w:bookmarkEnd w:id="0"/>
    <w:bookmarkEnd w:id="1"/>
    <w:p w14:paraId="093A4D6A" w14:textId="0FB211CD" w:rsidR="00EA1E5C" w:rsidRPr="00862832" w:rsidRDefault="00EA1E5C" w:rsidP="00862832">
      <w:pPr>
        <w:spacing w:after="0" w:line="240" w:lineRule="auto"/>
        <w:rPr>
          <w:rFonts w:ascii="Sakkal Majalla" w:eastAsia="Times New Roman" w:hAnsi="Sakkal Majalla" w:cs="Sakkal Majalla"/>
          <w:b/>
          <w:bCs/>
          <w:color w:val="002060"/>
          <w:sz w:val="36"/>
          <w:szCs w:val="36"/>
        </w:rPr>
      </w:pPr>
    </w:p>
    <w:sectPr w:rsidR="00EA1E5C" w:rsidRPr="00862832" w:rsidSect="009025BE">
      <w:headerReference w:type="default" r:id="rId9"/>
      <w:footerReference w:type="default" r:id="rId10"/>
      <w:headerReference w:type="first" r:id="rId11"/>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C76D" w14:textId="77777777" w:rsidR="00F04EBA" w:rsidRDefault="00F04EBA">
      <w:pPr>
        <w:spacing w:after="0" w:line="240" w:lineRule="auto"/>
      </w:pPr>
      <w:r>
        <w:separator/>
      </w:r>
    </w:p>
  </w:endnote>
  <w:endnote w:type="continuationSeparator" w:id="0">
    <w:p w14:paraId="0DF12FAB" w14:textId="77777777" w:rsidR="00F04EBA" w:rsidRDefault="00F0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45010561"/>
      <w:docPartObj>
        <w:docPartGallery w:val="Page Numbers (Bottom of Page)"/>
        <w:docPartUnique/>
      </w:docPartObj>
    </w:sdtPr>
    <w:sdtContent>
      <w:p w14:paraId="48158C0B" w14:textId="7F0402C1" w:rsidR="009025BE" w:rsidRDefault="009025BE">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72B6" w14:textId="77777777" w:rsidR="00F04EBA" w:rsidRDefault="00F04EBA">
      <w:pPr>
        <w:spacing w:after="0" w:line="240" w:lineRule="auto"/>
      </w:pPr>
      <w:r>
        <w:separator/>
      </w:r>
    </w:p>
  </w:footnote>
  <w:footnote w:type="continuationSeparator" w:id="0">
    <w:p w14:paraId="5DC97425" w14:textId="77777777" w:rsidR="00F04EBA" w:rsidRDefault="00F0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CA9C" w14:textId="455B7131" w:rsidR="009025BE" w:rsidRDefault="009025BE">
    <w:pPr>
      <w:pStyle w:val="a5"/>
    </w:pPr>
    <w:r>
      <w:rPr>
        <w:noProof/>
      </w:rPr>
      <w:drawing>
        <wp:anchor distT="0" distB="0" distL="114300" distR="114300" simplePos="0" relativeHeight="251661312" behindDoc="1" locked="0" layoutInCell="1" allowOverlap="1" wp14:anchorId="601232A6" wp14:editId="0300B9FD">
          <wp:simplePos x="0" y="0"/>
          <wp:positionH relativeFrom="column">
            <wp:posOffset>5071110</wp:posOffset>
          </wp:positionH>
          <wp:positionV relativeFrom="paragraph">
            <wp:posOffset>146050</wp:posOffset>
          </wp:positionV>
          <wp:extent cx="1431908" cy="742950"/>
          <wp:effectExtent l="0" t="0" r="0" b="0"/>
          <wp:wrapNone/>
          <wp:docPr id="204942409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9869" w14:textId="6B6EEC26" w:rsidR="009025BE" w:rsidRDefault="009025BE">
    <w:pPr>
      <w:pStyle w:val="a5"/>
    </w:pPr>
    <w:r>
      <w:rPr>
        <w:noProof/>
      </w:rPr>
      <w:drawing>
        <wp:anchor distT="0" distB="0" distL="114300" distR="114300" simplePos="0" relativeHeight="251659264" behindDoc="1" locked="0" layoutInCell="1" allowOverlap="1" wp14:anchorId="19665EB9" wp14:editId="416D827F">
          <wp:simplePos x="0" y="0"/>
          <wp:positionH relativeFrom="column">
            <wp:posOffset>5026660</wp:posOffset>
          </wp:positionH>
          <wp:positionV relativeFrom="paragraph">
            <wp:posOffset>120650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60C76"/>
    <w:rsid w:val="00163042"/>
    <w:rsid w:val="001656F1"/>
    <w:rsid w:val="00166B24"/>
    <w:rsid w:val="00181D19"/>
    <w:rsid w:val="001826A4"/>
    <w:rsid w:val="00185EA5"/>
    <w:rsid w:val="001917F6"/>
    <w:rsid w:val="00194449"/>
    <w:rsid w:val="001963EF"/>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45BB"/>
    <w:rsid w:val="002507CA"/>
    <w:rsid w:val="00251258"/>
    <w:rsid w:val="0025131D"/>
    <w:rsid w:val="00260289"/>
    <w:rsid w:val="00263C94"/>
    <w:rsid w:val="00270D98"/>
    <w:rsid w:val="00271903"/>
    <w:rsid w:val="00271ED9"/>
    <w:rsid w:val="00272B72"/>
    <w:rsid w:val="00281C06"/>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D7926"/>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52BB"/>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5B4"/>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2796"/>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2832"/>
    <w:rsid w:val="008632D4"/>
    <w:rsid w:val="008663CE"/>
    <w:rsid w:val="00870A4F"/>
    <w:rsid w:val="00871566"/>
    <w:rsid w:val="008728EC"/>
    <w:rsid w:val="00884AB3"/>
    <w:rsid w:val="00887234"/>
    <w:rsid w:val="00891499"/>
    <w:rsid w:val="00891599"/>
    <w:rsid w:val="0089236B"/>
    <w:rsid w:val="00892E68"/>
    <w:rsid w:val="00893A1A"/>
    <w:rsid w:val="00896D02"/>
    <w:rsid w:val="008A0847"/>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25B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261"/>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2708C"/>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4EBA"/>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1649</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2025-09-07T10:29:00Z</dcterms:created>
  <dcterms:modified xsi:type="dcterms:W3CDTF">2025-09-08T08:01:00Z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